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lineRule="auto" w:line="240" w:beforeAutospacing="1" w:afterAutospacing="1"/>
        <w:ind w:left="0" w:hanging="0"/>
        <w:jc w:val="center"/>
        <w:outlineLvl w:val="0"/>
        <w:rPr>
          <w:rFonts w:ascii="Verdana" w:hAnsi="Verdana" w:eastAsia="Times New Roman" w:cs="Times New Roman"/>
          <w:b/>
          <w:bCs/>
          <w:color w:val="333366"/>
          <w:kern w:val="2"/>
          <w:sz w:val="26"/>
          <w:szCs w:val="26"/>
          <w:lang w:eastAsia="ru-RU"/>
        </w:rPr>
      </w:pPr>
      <w:r>
        <w:rPr>
          <w:rFonts w:eastAsia="Times New Roman" w:cs="Times New Roman" w:ascii="Verdana" w:hAnsi="Verdana"/>
          <w:b/>
          <w:bCs/>
          <w:color w:val="333366"/>
          <w:kern w:val="2"/>
          <w:sz w:val="26"/>
          <w:szCs w:val="26"/>
          <w:lang w:eastAsia="ru-RU"/>
        </w:rPr>
        <w:t>Предоставление земельных участков участникам СВО, членам семей погибших (умерших) участников СВО бесплатно в собственность на территории Трубчевского муниципального района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5E5E5E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 xml:space="preserve">        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В соответствии с законом Брянской области от 02.10.2023 №70-З "О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Федерации, лиц, проходящих службу в войсках национальной гвардии Российской Федерации, и членов их семей» земельные участки предоставляются в собственность бесплатно </w:t>
      </w:r>
      <w:r>
        <w:rPr>
          <w:rFonts w:eastAsia="Times New Roman" w:cs="Times New Roman" w:ascii="Times New Roman" w:hAnsi="Times New Roman"/>
          <w:b/>
          <w:bCs/>
          <w:color w:val="5E5E5E"/>
          <w:sz w:val="24"/>
          <w:szCs w:val="24"/>
          <w:lang w:eastAsia="ru-RU"/>
        </w:rPr>
        <w:t>для целей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: индивидуального жилищного строительства или для ведения личного подсобного хозяйства или садоводства и огородничества: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1.   Военнослужащим, лицам, заключившим контракт о пребывании в добровольческом формировании, содействующем выполнению задач, возложенных на Вооруженные Силы Российской Федерации, и лицам, проходящим (проходившим) службу в войсках национальной гвардии Российской Федерации и имеющим специальные звания полиции, </w:t>
      </w:r>
      <w:r>
        <w:rPr>
          <w:rFonts w:eastAsia="Times New Roman" w:cs="Times New Roman" w:ascii="Times New Roman" w:hAnsi="Times New Roman"/>
          <w:b/>
          <w:bCs/>
          <w:color w:val="5E5E5E"/>
          <w:sz w:val="24"/>
          <w:szCs w:val="24"/>
          <w:lang w:eastAsia="ru-RU"/>
        </w:rPr>
        <w:t>которые удостоены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b/>
          <w:bCs/>
          <w:i/>
          <w:iCs/>
          <w:color w:val="5E5E5E"/>
          <w:sz w:val="24"/>
          <w:szCs w:val="24"/>
          <w:lang w:eastAsia="ru-RU"/>
        </w:rPr>
        <w:t>звания Героя Российской Федерации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 или </w:t>
      </w:r>
      <w:r>
        <w:rPr>
          <w:rFonts w:eastAsia="Times New Roman" w:cs="Times New Roman" w:ascii="Times New Roman" w:hAnsi="Times New Roman"/>
          <w:b/>
          <w:bCs/>
          <w:i/>
          <w:iCs/>
          <w:color w:val="5E5E5E"/>
          <w:sz w:val="24"/>
          <w:szCs w:val="24"/>
          <w:lang w:eastAsia="ru-RU"/>
        </w:rPr>
        <w:t>награжденным орденами Российской Федерации за заслуги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, проявленные в ходе </w:t>
      </w:r>
      <w:r>
        <w:rPr>
          <w:rFonts w:eastAsia="Times New Roman" w:cs="Times New Roman" w:ascii="Times New Roman" w:hAnsi="Times New Roman"/>
          <w:b/>
          <w:bCs/>
          <w:i/>
          <w:iCs/>
          <w:color w:val="5E5E5E"/>
          <w:sz w:val="24"/>
          <w:szCs w:val="24"/>
          <w:lang w:eastAsia="ru-RU"/>
        </w:rPr>
        <w:t>участия в специальной военной операции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, и </w:t>
      </w:r>
      <w:r>
        <w:rPr>
          <w:rFonts w:eastAsia="Times New Roman" w:cs="Times New Roman" w:ascii="Times New Roman" w:hAnsi="Times New Roman"/>
          <w:b/>
          <w:bCs/>
          <w:i/>
          <w:iCs/>
          <w:color w:val="5E5E5E"/>
          <w:sz w:val="24"/>
          <w:szCs w:val="24"/>
          <w:lang w:eastAsia="ru-RU"/>
        </w:rPr>
        <w:t>являющимся ветеранами боевых действий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 (далее - ветераны боевых действий, награжденные за заслуги, проявленные в ходе участия в специальной военной операции);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2.   Семьям ветеранов боевых действий, награжденных за заслуги, проявленные в ходе участия в специальной военной операции, погибших (умерших) вследствие увечья (ранения, травмы, контузии) или заболевания, полученных ими в ходе участия в специальной военной операции;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К членам семей погибших (умерших) участников специальной военной операции, имеющих право на предоставление земельных участков в собственность бесплатно, относятся: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1) супруга (супруг), не вступившая (не вступивший) в повторный брак, и ее (его) дети, рожденные от погибшего (умершего) участника специальной военной операции или усыновленные в браке с ним, в том числе: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несовершеннолетние дети;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дети старше 18 лет, ставшие инвалидами до достижения ими возраста 18 лет;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дети в возрасте до 23 лет, обучающиеся в образовательных организациях по очной форме обучения.</w:t>
      </w:r>
    </w:p>
    <w:p>
      <w:pPr>
        <w:pStyle w:val="Normal"/>
        <w:spacing w:lineRule="auto" w:line="240" w:before="0" w:after="0"/>
        <w:jc w:val="both"/>
        <w:rPr/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2) родители (усыновители) погибшего (умершего) участника специальной военной операции - в случае отсутствия граждан, указанных в </w:t>
      </w:r>
      <w:r>
        <w:fldChar w:fldCharType="begin"/>
      </w:r>
      <w:r>
        <w:rPr>
          <w:sz w:val="24"/>
          <w:u w:val="single"/>
          <w:szCs w:val="24"/>
          <w:rFonts w:eastAsia="Times New Roman" w:cs="Times New Roman" w:ascii="Times New Roman" w:hAnsi="Times New Roman"/>
          <w:color w:val="46ABC8"/>
          <w:lang w:eastAsia="ru-RU"/>
        </w:rPr>
        <w:instrText xml:space="preserve"> HYPERLINK "file:///C:/Users/User/Desktop/%D0%A0%D0%B0%D0%B1%D0%BE%D1%87%D0%B8%D0%B9%20%D1%81%D1%82%D0%BE%D0%BB/%D0%94%D0%B5%D0%BC%D0%BA%D0%B8%D0%BD/%D0%9F%D0%BE%D1%81%D1%82%D0%B0%D0%BD%D0%BE%D0%B2%D0%BB%D0%B5%D0%BD%D0%B8%D1%8F%20%D0%B8%20%D1%80%D0%B0%D1%81%D0%BF%D0%BE%D1%80%D1%8F%D0%B6%D0%B5%D0%BD%D0%B8%D1%8F/%D0%9F%D0%B0%D0%BC%D1%8F%D1%82%D0%BA%D0%B0%20%D0%BF%D0%BE%20%D0%BF%D1%80%D0%B5%D0%B4%D0%BE%D1%81%D1%82%D0%B0%D0%B2%D0%BB%D0%B5%D0%BD%D0%B8%D1%8E%20%D0%B7%D0%B5%D0%BC%D0%B5%D0%BB%D1%8C%D0%BD%D1%8B%D1%85%20%D1%83%D1%87%D0%B0%D1%81%D1%82%D0%BA%D0%BE%D0%B2%20%D1%83%D1%87%D0%B0%D1%81%D1%82%D0%BD%D0%B8%D0%BA%D0%B0%D0%BC%20%D0%A1%D0%92%D0%9E%20%D0%B1%D0%B5%D1%81%D0%BF%D0%BB%D0%B0%D1%82%D0%BD%D0%BE%20%D0%B2%20%D1%81%D0%BE%D0%B1%D1%81%D1%82%D0%B2%D0%B5%D0%BD%D0%BD%D0%BE%D1%81%D1%82%D1%8C.docx" \l "sub_221"</w:instrText>
      </w:r>
      <w:r>
        <w:rPr>
          <w:sz w:val="24"/>
          <w:u w:val="single"/>
          <w:szCs w:val="24"/>
          <w:rFonts w:eastAsia="Times New Roman" w:cs="Times New Roman" w:ascii="Times New Roman" w:hAnsi="Times New Roman"/>
          <w:color w:val="46ABC8"/>
          <w:lang w:eastAsia="ru-RU"/>
        </w:rPr>
        <w:fldChar w:fldCharType="separate"/>
      </w:r>
      <w:r>
        <w:rPr>
          <w:rFonts w:eastAsia="Times New Roman" w:cs="Times New Roman" w:ascii="Times New Roman" w:hAnsi="Times New Roman"/>
          <w:color w:val="46ABC8"/>
          <w:sz w:val="24"/>
          <w:szCs w:val="24"/>
          <w:u w:val="single"/>
          <w:lang w:eastAsia="ru-RU"/>
        </w:rPr>
        <w:t>пункте 1</w:t>
      </w:r>
      <w:r>
        <w:rPr>
          <w:sz w:val="24"/>
          <w:u w:val="single"/>
          <w:szCs w:val="24"/>
          <w:rFonts w:eastAsia="Times New Roman" w:cs="Times New Roman" w:ascii="Times New Roman" w:hAnsi="Times New Roman"/>
          <w:color w:val="46ABC8"/>
          <w:lang w:eastAsia="ru-RU"/>
        </w:rPr>
        <w:fldChar w:fldCharType="end"/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.</w:t>
      </w:r>
    </w:p>
    <w:p>
      <w:pPr>
        <w:pStyle w:val="Normal"/>
        <w:spacing w:lineRule="auto" w:line="240"/>
        <w:ind w:left="0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Участникам специальной военной операции земельные участки предоставляются в муниципальном образовании, на территории которого участник специальной военной операции зарегистрирован по месту жительства, а при отсутствии такой регистрации - по месту пребывания.</w:t>
      </w:r>
    </w:p>
    <w:p>
      <w:pPr>
        <w:pStyle w:val="Normal"/>
        <w:spacing w:lineRule="auto" w:line="240"/>
        <w:ind w:left="0" w:hanging="0"/>
        <w:jc w:val="both"/>
        <w:rPr/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(в ред. </w:t>
      </w:r>
      <w:hyperlink r:id="rId2">
        <w:r>
          <w:rPr>
            <w:rFonts w:ascii="Times New Roman" w:hAnsi="Times New Roman"/>
            <w:b w:val="false"/>
            <w:i w:val="false"/>
            <w:strike w:val="false"/>
            <w:dstrike w:val="false"/>
            <w:color w:val="0000FF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Брянской области от 29.07.2025 N 72-З)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Членам семей погибших (умерших) участников специальной военной операции земельные участки предоставляются в муниципальном образовании, на территории которого они зарегистрированы по месту жительства, а при отсутствии такой регистрации - в муниципальном образовании по месту пребывания на территории Брянской области.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В случае если члены семьи погибшего (умершего) участника специальной военной операции зарегистрированы в разных муниципальных образованиях, то предоставление земельных участков осуществляется на выбор по месту жительства (по месту пребывания) одного из членов указанных семей.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 xml:space="preserve"> 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Земельные участки предоставляются бесплатно в общую долевую собственность всех членов семьи погибшего (умершего) участника специальной военной операции, в равных долях (в зависимости от количества лиц, которым предоставляется земельный участок бесплатно) или в индивидуальную собственность единственного члена семьи погибшего (умершего) участника специальной военной операции.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Членам семьи погибшего (умершего) участника специальной военной операции предоставляется один земельный участок независимо от количества членов его семьи.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eastAsia="Times New Roman" w:cs="Times New Roman"/>
          <w:color w:val="5E5E5E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Гражданин (семья в лице одного из членов семьи), желающий бесплатно получить в собственность земельный участок, подает в Администрацию Трубчевского муниципального района Брянской области по месту жительства </w:t>
      </w:r>
      <w:r>
        <w:rPr>
          <w:rFonts w:eastAsia="Times New Roman" w:cs="Times New Roman" w:ascii="Times New Roman" w:hAnsi="Times New Roman"/>
          <w:b/>
          <w:bCs/>
          <w:color w:val="5E5E5E"/>
          <w:sz w:val="24"/>
          <w:szCs w:val="24"/>
          <w:lang w:eastAsia="ru-RU"/>
        </w:rPr>
        <w:t>заявление 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о постановке на учет в качестве лица, имеющего право на предоставление земельного участка в собственность бесплатно, с приложением необходимых документов, перечень которых установлен ч. 5 cm. 5 Закона Брянской области от 02.10.2023 №70-З.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 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К </w:t>
      </w:r>
      <w:r>
        <w:rPr>
          <w:rFonts w:eastAsia="Times New Roman" w:cs="Times New Roman" w:ascii="Times New Roman" w:hAnsi="Times New Roman"/>
          <w:b/>
          <w:bCs/>
          <w:color w:val="5E5E5E"/>
          <w:sz w:val="24"/>
          <w:szCs w:val="24"/>
          <w:lang w:eastAsia="ru-RU"/>
        </w:rPr>
        <w:t>заявлению прилагаются следующие документы</w:t>
      </w:r>
      <w:r>
        <w:rPr>
          <w:rFonts w:eastAsia="Times New Roman" w:cs="Times New Roman" w:ascii="Times New Roman" w:hAnsi="Times New Roman"/>
          <w:color w:val="5E5E5E"/>
          <w:sz w:val="24"/>
          <w:szCs w:val="24"/>
          <w:lang w:eastAsia="ru-RU"/>
        </w:rPr>
        <w:t>:</w:t>
      </w:r>
    </w:p>
    <w:p>
      <w:pPr>
        <w:pStyle w:val="Normal"/>
        <w:spacing w:lineRule="auto" w:line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1) для участников специальной военной операции: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копия паспорта заявителя;</w:t>
      </w:r>
    </w:p>
    <w:p>
      <w:pPr>
        <w:pStyle w:val="Normal"/>
        <w:spacing w:lineRule="auto" w:line="240"/>
        <w:ind w:left="0" w:hanging="0"/>
        <w:jc w:val="both"/>
        <w:rPr/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(в ред. </w:t>
      </w:r>
      <w:hyperlink r:id="rId3">
        <w:r>
          <w:rPr>
            <w:rFonts w:ascii="Times New Roman" w:hAnsi="Times New Roman"/>
            <w:b w:val="false"/>
            <w:i w:val="false"/>
            <w:strike w:val="false"/>
            <w:dstrike w:val="false"/>
            <w:color w:val="0000FF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Брянской области от 29.07.2025 N 72-З)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копия документа, подтверждающего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документы, подтверждающие участие в специальной военной операции;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копии документов, подтверждающих присвоение звания Героя Российской Федерации или награждение орденом Российской Федерации за заслуги, проявленные в ходе участия в специальной военной операции;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копия удостоверения ветерана боевых действий;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согласие на обработку персональных данных заявителя;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2) для членов семей погибших (умерших) участников специальной военной операции: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копии паспортов заявителя, каждого члена семьи;</w:t>
      </w:r>
    </w:p>
    <w:p>
      <w:pPr>
        <w:pStyle w:val="Normal"/>
        <w:spacing w:lineRule="auto" w:line="240"/>
        <w:ind w:left="0" w:hanging="0"/>
        <w:jc w:val="both"/>
        <w:rPr/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(в ред. </w:t>
      </w:r>
      <w:hyperlink r:id="rId4">
        <w:r>
          <w:rPr>
            <w:rFonts w:ascii="Times New Roman" w:hAnsi="Times New Roman"/>
            <w:b w:val="false"/>
            <w:i w:val="false"/>
            <w:strike w:val="false"/>
            <w:dstrike w:val="false"/>
            <w:color w:val="0000FF"/>
            <w:sz w:val="24"/>
            <w:szCs w:val="24"/>
            <w:u w:val="none"/>
          </w:rPr>
          <w:t>Закона</w:t>
        </w:r>
      </w:hyperlink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 xml:space="preserve"> Брянской области от 29.07.2025 N 72-З)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копии документов, подтверждающих регистрацию по месту пребывания на территории Брянской области (в случае отсутствия регистрации на территории Брянской области по месту жительства);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документы, подтверждающие родство заявителя, каждого члена семьи с погибшим (умершим) участником специальной военной операции;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документы, подтверждающие участие в специальной военной операции погибшего (умершего) участника специальной военной операции;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документы, подтверждающие гибель (смерть) участника специальной военной операции, в том числе вследствие увечья (ранения, травмы, контузии) или заболевания, полученного участником специальной военной операции в ходе участия в специальной военной операции;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копии документов, подтверждающих присвоение звания Героя Российской Федерации или награждение орденом Российской Федерации участника специальной военной операции за заслуги, проявленные в ходе участия в специальной военной операции;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копия удостоверения члена семьи погибшего (умершего) ветерана боевых действий;</w:t>
      </w:r>
    </w:p>
    <w:p>
      <w:pPr>
        <w:pStyle w:val="Normal"/>
        <w:spacing w:lineRule="auto" w:line="240" w:before="220" w:after="160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strike w:val="false"/>
          <w:dstrike w:val="false"/>
          <w:sz w:val="24"/>
          <w:szCs w:val="24"/>
          <w:u w:val="none"/>
        </w:rPr>
        <w:t>согласие на обработку персональных данных заявителя и всех членов семьи.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Verdana">
    <w:charset w:val="cc"/>
    <w:family w:val="roman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login.consultant.ru/link/?req=doc&amp;base=RLAW201&amp;n=86262&amp;dst=100010" TargetMode="External"/><Relationship Id="rId3" Type="http://schemas.openxmlformats.org/officeDocument/2006/relationships/hyperlink" Target="https://login.consultant.ru/link/?req=doc&amp;base=RLAW201&amp;n=86262&amp;dst=100013" TargetMode="External"/><Relationship Id="rId4" Type="http://schemas.openxmlformats.org/officeDocument/2006/relationships/hyperlink" Target="https://login.consultant.ru/link/?req=doc&amp;base=RLAW201&amp;n=86262&amp;dst=100014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AlterOffice/3.4.0.8$Windows_X86_64 LibreOffice_project/8f3f3c847f0b8d6fea24e251d3d8ed4f23cbe23c</Application>
  <AppVersion>15.0000</AppVersion>
  <Pages>3</Pages>
  <Words>760</Words>
  <Characters>5448</Characters>
  <CharactersWithSpaces>6186</CharactersWithSpaces>
  <Paragraphs>36</Paragraphs>
  <Company>КонсультантПлюс Версия 4026.00.34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2026-08-20T09:05:00Z</dcterms:created>
  <dc:creator>ПетроченковаТатьяна Васильевна</dc:creator>
  <dc:description/>
  <dc:language>ru-RU</dc:language>
  <cp:lastModifiedBy/>
  <dcterms:modified xsi:type="dcterms:W3CDTF">2026-08-20T09:06:35Z</dcterms:modified>
  <cp:revision>6</cp:revision>
  <dc:subject/>
  <dc:title>Закон Брянской области от 02.10.2023 N 70-З(ред. от 29.07.2025)"О дополнительной мере социальной поддержки военнослужащих, лиц, заключивших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лиц, проходящих службу в войсках национальной гвардии Российской Федерации, и членов их семей"(принят Брянской областной Думой 28.09.2023)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